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1318" w14:textId="77777777" w:rsidR="00EA032A" w:rsidRPr="00EA032A" w:rsidRDefault="00EA032A" w:rsidP="00EA032A">
      <w:pPr>
        <w:pStyle w:val="a4"/>
        <w:kinsoku w:val="0"/>
        <w:overflowPunct w:val="0"/>
        <w:spacing w:before="120"/>
        <w:ind w:left="-227" w:right="217" w:firstLine="709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Женщины позднего репродуктивного возраста могут получить пользу от р- </w:t>
      </w:r>
      <w:proofErr w:type="spell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чФСГ</w:t>
      </w:r>
      <w:proofErr w:type="spell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и р-</w:t>
      </w:r>
      <w:proofErr w:type="spell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чЛГ</w:t>
      </w:r>
      <w:proofErr w:type="spell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по сравнению с </w:t>
      </w:r>
      <w:proofErr w:type="spell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монотерапией</w:t>
      </w:r>
      <w:proofErr w:type="spell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р-</w:t>
      </w:r>
      <w:proofErr w:type="spell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чФСГ</w:t>
      </w:r>
      <w:proofErr w:type="spell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</w:t>
      </w:r>
    </w:p>
    <w:p w14:paraId="2C3964CC" w14:textId="77777777" w:rsidR="00EA032A" w:rsidRPr="00EA032A" w:rsidRDefault="00EA032A" w:rsidP="00EA032A">
      <w:pPr>
        <w:pStyle w:val="a4"/>
        <w:kinsoku w:val="0"/>
        <w:overflowPunct w:val="0"/>
        <w:spacing w:before="120"/>
        <w:ind w:left="-227" w:right="221" w:firstLine="769"/>
        <w:jc w:val="left"/>
        <w:rPr>
          <w:rFonts w:asciiTheme="minorHAnsi" w:hAnsiTheme="minorHAnsi" w:cstheme="minorHAnsi"/>
          <w:sz w:val="22"/>
          <w:szCs w:val="22"/>
        </w:rPr>
      </w:pPr>
      <w:r w:rsidRPr="00EA032A">
        <w:rPr>
          <w:rFonts w:asciiTheme="minorHAnsi" w:hAnsiTheme="minorHAnsi" w:cstheme="minorHAnsi"/>
          <w:sz w:val="22"/>
          <w:szCs w:val="22"/>
        </w:rPr>
        <w:t>Известно, что функция яичников (количество и качество фолликулов) снижается после</w:t>
      </w:r>
      <w:r w:rsidRPr="00EA0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35</w:t>
      </w:r>
      <w:r w:rsidRPr="00EA0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лет.</w:t>
      </w:r>
      <w:r w:rsidRPr="00EA0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У</w:t>
      </w:r>
      <w:r w:rsidRPr="00EA0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женщин</w:t>
      </w:r>
      <w:r w:rsidRPr="00EA0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позднего</w:t>
      </w:r>
      <w:r w:rsidRPr="00EA0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репродуктивного</w:t>
      </w:r>
      <w:r w:rsidRPr="00EA0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возраста</w:t>
      </w:r>
      <w:r w:rsidRPr="00EA0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(35–39</w:t>
      </w:r>
      <w:r w:rsidRPr="00EA0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лет),</w:t>
      </w:r>
      <w:r w:rsidRPr="00EA0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проходящих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 xml:space="preserve">стимуляцию яичников с использованием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р-</w:t>
      </w:r>
      <w:proofErr w:type="gramStart"/>
      <w:r w:rsidRPr="00EA032A">
        <w:rPr>
          <w:rFonts w:asciiTheme="minorHAnsi" w:hAnsiTheme="minorHAnsi" w:cstheme="minorHAnsi"/>
          <w:sz w:val="22"/>
          <w:szCs w:val="22"/>
        </w:rPr>
        <w:t>чФСГ:р</w:t>
      </w:r>
      <w:proofErr w:type="gramEnd"/>
      <w:r w:rsidRPr="00EA032A">
        <w:rPr>
          <w:rFonts w:asciiTheme="minorHAnsi" w:hAnsiTheme="minorHAnsi" w:cstheme="minorHAnsi"/>
          <w:sz w:val="22"/>
          <w:szCs w:val="22"/>
        </w:rPr>
        <w:t>-чЛГ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, частота имплантации выше, чем таковая при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монотерапии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 р-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чФСГ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 [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Matorras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>, 2009; Bosch, 2011].</w:t>
      </w:r>
    </w:p>
    <w:p w14:paraId="30DCC139" w14:textId="77777777" w:rsidR="00EA032A" w:rsidRPr="00EA032A" w:rsidRDefault="00EA032A" w:rsidP="00EA032A">
      <w:pPr>
        <w:pStyle w:val="a4"/>
        <w:kinsoku w:val="0"/>
        <w:overflowPunct w:val="0"/>
        <w:spacing w:before="120"/>
        <w:ind w:left="-227" w:right="217" w:firstLine="709"/>
        <w:jc w:val="left"/>
        <w:rPr>
          <w:rFonts w:asciiTheme="minorHAnsi" w:hAnsiTheme="minorHAnsi" w:cstheme="minorHAnsi"/>
          <w:sz w:val="22"/>
          <w:szCs w:val="22"/>
        </w:rPr>
      </w:pPr>
      <w:r w:rsidRPr="00EA032A">
        <w:rPr>
          <w:rFonts w:asciiTheme="minorHAnsi" w:hAnsiTheme="minorHAnsi" w:cstheme="minorHAnsi"/>
          <w:sz w:val="22"/>
          <w:szCs w:val="22"/>
        </w:rPr>
        <w:t>В исследованиях</w:t>
      </w:r>
      <w:r w:rsidRPr="00EA03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была</w:t>
      </w:r>
      <w:r w:rsidRPr="00EA032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обнаружена тенденция к улучшению частоты клинической и развивающейся беременностей в группе р-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чЛГ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>, однако разница была статистически значимой только в одном из трех</w:t>
      </w:r>
      <w:r w:rsidRPr="00EA0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исследований [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Matorras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, 2009, Bosch, 2011,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Behre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>, 2015].</w:t>
      </w:r>
    </w:p>
    <w:p w14:paraId="2FA76E40" w14:textId="77777777" w:rsidR="00EA032A" w:rsidRPr="00EA032A" w:rsidRDefault="00EA032A" w:rsidP="00EA032A">
      <w:pPr>
        <w:pStyle w:val="a4"/>
        <w:kinsoku w:val="0"/>
        <w:overflowPunct w:val="0"/>
        <w:spacing w:before="120"/>
        <w:ind w:left="-227" w:right="215" w:firstLine="709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Женщины с </w:t>
      </w:r>
      <w:proofErr w:type="spell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субоптимальным</w:t>
      </w:r>
      <w:proofErr w:type="spell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ответом яичников и женщины с неблагоприятным прогнозом могут получить пользу от СЯ с использованием </w:t>
      </w:r>
      <w:proofErr w:type="spell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р-</w:t>
      </w:r>
      <w:proofErr w:type="gram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чФСГ:р</w:t>
      </w:r>
      <w:proofErr w:type="gram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-чЛГ</w:t>
      </w:r>
      <w:proofErr w:type="spell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по сравнению с использованием р-</w:t>
      </w:r>
      <w:proofErr w:type="spell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чФСГ</w:t>
      </w:r>
      <w:proofErr w:type="spell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или </w:t>
      </w:r>
      <w:proofErr w:type="spell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чМГ</w:t>
      </w:r>
      <w:proofErr w:type="spell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по отдельности или в комбинации.</w:t>
      </w:r>
    </w:p>
    <w:p w14:paraId="5F1EB53C" w14:textId="07638970" w:rsidR="00EA032A" w:rsidRPr="00EA032A" w:rsidRDefault="00EA032A" w:rsidP="00A03045">
      <w:pPr>
        <w:pStyle w:val="a4"/>
        <w:kinsoku w:val="0"/>
        <w:overflowPunct w:val="0"/>
        <w:spacing w:before="120"/>
        <w:ind w:left="-227" w:right="214" w:firstLine="709"/>
        <w:jc w:val="left"/>
        <w:rPr>
          <w:rFonts w:asciiTheme="minorHAnsi" w:hAnsiTheme="minorHAnsi" w:cstheme="minorHAnsi"/>
          <w:sz w:val="22"/>
          <w:szCs w:val="22"/>
        </w:rPr>
      </w:pPr>
      <w:r w:rsidRPr="00EA032A">
        <w:rPr>
          <w:rFonts w:asciiTheme="minorHAnsi" w:hAnsiTheme="minorHAnsi" w:cstheme="minorHAnsi"/>
          <w:sz w:val="22"/>
          <w:szCs w:val="22"/>
        </w:rPr>
        <w:t xml:space="preserve">«Бедный» ответ яичников обычно указывает на снижение ответа яичников, что приводит к уменьшению количества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аспирированных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 ооцитов, сниженной частоте оплодотворения и имплантации и изменению общего показателя успеха ВРТ. В систематическом обзоре и мета-анализе изучались женщины в возрасте 18-45 лет, проходящие процедуру экстракорпорального оплодотворения, которые получали либо рекомбинантный ЛГ плюс рекомбинантный ФСГ (n = 3113), либо стимуляцию только рекомбинантным ФСГ в циклах вспомогательной репродукции (n = 3228). У пациенток с</w:t>
      </w:r>
      <w:r w:rsidR="00A03045">
        <w:rPr>
          <w:rFonts w:asciiTheme="minorHAnsi" w:hAnsiTheme="minorHAnsi" w:cstheme="minorHAnsi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 xml:space="preserve">«бедным» ответом было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аспирировано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 существенно больше ооцитов при применении р-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чФСГ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 плюс</w:t>
      </w:r>
      <w:r w:rsidRPr="00EA03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р-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чЛГ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 по</w:t>
      </w:r>
      <w:r w:rsidRPr="00EA0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сравнению с</w:t>
      </w:r>
      <w:r w:rsidRPr="00EA0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только р-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чФСГ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 (n =</w:t>
      </w:r>
      <w:r w:rsidRPr="00EA032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1077; взвешенная</w:t>
      </w:r>
      <w:r w:rsidRPr="00EA03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разность</w:t>
      </w:r>
      <w:r w:rsidRPr="00EA03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средних</w:t>
      </w:r>
    </w:p>
    <w:p w14:paraId="22594EFC" w14:textId="77777777" w:rsidR="00EA032A" w:rsidRPr="00EA032A" w:rsidRDefault="00EA032A" w:rsidP="00EA032A">
      <w:pPr>
        <w:pStyle w:val="a4"/>
        <w:kinsoku w:val="0"/>
        <w:overflowPunct w:val="0"/>
        <w:spacing w:before="120"/>
        <w:ind w:left="-227" w:right="215" w:firstLine="709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Женщины с </w:t>
      </w:r>
      <w:proofErr w:type="spell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субоптимальным</w:t>
      </w:r>
      <w:proofErr w:type="spell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ответом яичников и женщины с неблагоприятным прогнозом могут получить пользу от СЯ с использованием </w:t>
      </w:r>
      <w:proofErr w:type="spell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р-</w:t>
      </w:r>
      <w:proofErr w:type="gram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чФСГ:р</w:t>
      </w:r>
      <w:proofErr w:type="gram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-чЛГ</w:t>
      </w:r>
      <w:proofErr w:type="spell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по сравнению с использованием р-</w:t>
      </w:r>
      <w:proofErr w:type="spell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чФСГ</w:t>
      </w:r>
      <w:proofErr w:type="spell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или </w:t>
      </w:r>
      <w:proofErr w:type="spell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чМГ</w:t>
      </w:r>
      <w:proofErr w:type="spell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по отдельности или в комбинации</w:t>
      </w:r>
    </w:p>
    <w:p w14:paraId="5737EB98" w14:textId="77777777" w:rsidR="00EA032A" w:rsidRPr="00EA032A" w:rsidRDefault="00EA032A" w:rsidP="00EA032A">
      <w:pPr>
        <w:pStyle w:val="a4"/>
        <w:kinsoku w:val="0"/>
        <w:overflowPunct w:val="0"/>
        <w:spacing w:before="120"/>
        <w:ind w:left="-227" w:right="217" w:firstLine="709"/>
        <w:jc w:val="left"/>
        <w:rPr>
          <w:rFonts w:asciiTheme="minorHAnsi" w:hAnsiTheme="minorHAnsi" w:cstheme="minorHAnsi"/>
          <w:sz w:val="22"/>
          <w:szCs w:val="22"/>
        </w:rPr>
      </w:pPr>
      <w:r w:rsidRPr="00EA032A">
        <w:rPr>
          <w:rFonts w:asciiTheme="minorHAnsi" w:hAnsiTheme="minorHAnsi" w:cstheme="minorHAnsi"/>
          <w:sz w:val="22"/>
          <w:szCs w:val="22"/>
        </w:rPr>
        <w:t>В мета-анализах изучали влияние комбинации р-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чФСГ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 и р-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чЛГ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 на стимуляцию яичников [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Lehert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, 2014;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Mochtar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, 2017;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Santi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, 2017]. В этих мета- анализах использование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р-</w:t>
      </w:r>
      <w:proofErr w:type="gramStart"/>
      <w:r w:rsidRPr="00EA032A">
        <w:rPr>
          <w:rFonts w:asciiTheme="minorHAnsi" w:hAnsiTheme="minorHAnsi" w:cstheme="minorHAnsi"/>
          <w:sz w:val="22"/>
          <w:szCs w:val="22"/>
        </w:rPr>
        <w:t>чФСГ:р</w:t>
      </w:r>
      <w:proofErr w:type="gramEnd"/>
      <w:r w:rsidRPr="00EA032A">
        <w:rPr>
          <w:rFonts w:asciiTheme="minorHAnsi" w:hAnsiTheme="minorHAnsi" w:cstheme="minorHAnsi"/>
          <w:sz w:val="22"/>
          <w:szCs w:val="22"/>
        </w:rPr>
        <w:t>-чЛГ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 оценивали в общей популяции (включая показатель бедного ответа яичников). Во всех мета-анализах наблюдалась более высокая частота минимум одного исхода беременности (частота наступления беременности; частота</w:t>
      </w:r>
      <w:r w:rsidRPr="00EA032A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клинической</w:t>
      </w:r>
      <w:r w:rsidRPr="00EA032A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беременности; частота</w:t>
      </w:r>
      <w:r w:rsidRPr="00EA032A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развивающейся</w:t>
      </w:r>
      <w:r w:rsidRPr="00EA032A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беременности;</w:t>
      </w:r>
      <w:r w:rsidRPr="00EA032A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pacing w:val="-2"/>
          <w:sz w:val="22"/>
          <w:szCs w:val="22"/>
        </w:rPr>
        <w:t xml:space="preserve">частота </w:t>
      </w:r>
      <w:r w:rsidRPr="00EA032A">
        <w:rPr>
          <w:rFonts w:asciiTheme="minorHAnsi" w:hAnsiTheme="minorHAnsi" w:cstheme="minorHAnsi"/>
          <w:sz w:val="22"/>
          <w:szCs w:val="22"/>
        </w:rPr>
        <w:t xml:space="preserve">живорождения) при применении комбинации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р-</w:t>
      </w:r>
      <w:proofErr w:type="gramStart"/>
      <w:r w:rsidRPr="00EA032A">
        <w:rPr>
          <w:rFonts w:asciiTheme="minorHAnsi" w:hAnsiTheme="minorHAnsi" w:cstheme="minorHAnsi"/>
          <w:sz w:val="22"/>
          <w:szCs w:val="22"/>
        </w:rPr>
        <w:t>чФСГ:р</w:t>
      </w:r>
      <w:proofErr w:type="gramEnd"/>
      <w:r w:rsidRPr="00EA032A">
        <w:rPr>
          <w:rFonts w:asciiTheme="minorHAnsi" w:hAnsiTheme="minorHAnsi" w:cstheme="minorHAnsi"/>
          <w:sz w:val="22"/>
          <w:szCs w:val="22"/>
        </w:rPr>
        <w:t>-чЛГ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 по сравнению с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монотерапией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 р-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чФСГ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>.</w:t>
      </w:r>
    </w:p>
    <w:p w14:paraId="2802BF73" w14:textId="77777777" w:rsidR="00EA032A" w:rsidRPr="00EA032A" w:rsidRDefault="00EA032A" w:rsidP="00EA032A">
      <w:pPr>
        <w:pStyle w:val="a4"/>
        <w:kinsoku w:val="0"/>
        <w:overflowPunct w:val="0"/>
        <w:spacing w:before="120"/>
        <w:ind w:left="-227"/>
        <w:jc w:val="left"/>
        <w:rPr>
          <w:rFonts w:asciiTheme="minorHAnsi" w:hAnsiTheme="minorHAnsi" w:cstheme="minorHAnsi"/>
          <w:b/>
          <w:bCs/>
          <w:i/>
          <w:iCs/>
          <w:spacing w:val="-10"/>
          <w:sz w:val="22"/>
          <w:szCs w:val="22"/>
          <w:u w:val="single"/>
        </w:rPr>
      </w:pPr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Систематические</w:t>
      </w:r>
      <w:r w:rsidRPr="00EA032A">
        <w:rPr>
          <w:rFonts w:asciiTheme="minorHAnsi" w:hAnsiTheme="minorHAnsi" w:cstheme="minorHAnsi"/>
          <w:b/>
          <w:bCs/>
          <w:i/>
          <w:iCs/>
          <w:spacing w:val="9"/>
          <w:sz w:val="22"/>
          <w:szCs w:val="22"/>
          <w:u w:val="single"/>
        </w:rPr>
        <w:t xml:space="preserve"> </w:t>
      </w:r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обзоры</w:t>
      </w:r>
      <w:r w:rsidRPr="00EA032A">
        <w:rPr>
          <w:rFonts w:asciiTheme="minorHAnsi" w:hAnsiTheme="minorHAnsi" w:cstheme="minorHAnsi"/>
          <w:b/>
          <w:bCs/>
          <w:i/>
          <w:iCs/>
          <w:spacing w:val="6"/>
          <w:sz w:val="22"/>
          <w:szCs w:val="22"/>
          <w:u w:val="single"/>
        </w:rPr>
        <w:t xml:space="preserve"> </w:t>
      </w:r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и</w:t>
      </w:r>
      <w:r w:rsidRPr="00EA032A">
        <w:rPr>
          <w:rFonts w:asciiTheme="minorHAnsi" w:hAnsiTheme="minorHAnsi" w:cstheme="minorHAnsi"/>
          <w:b/>
          <w:bCs/>
          <w:i/>
          <w:iCs/>
          <w:spacing w:val="8"/>
          <w:sz w:val="22"/>
          <w:szCs w:val="22"/>
          <w:u w:val="single"/>
        </w:rPr>
        <w:t xml:space="preserve"> </w:t>
      </w:r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мета-анализ</w:t>
      </w:r>
      <w:r w:rsidRPr="00EA032A">
        <w:rPr>
          <w:rFonts w:asciiTheme="minorHAnsi" w:hAnsiTheme="minorHAnsi" w:cstheme="minorHAnsi"/>
          <w:b/>
          <w:bCs/>
          <w:i/>
          <w:iCs/>
          <w:spacing w:val="9"/>
          <w:sz w:val="22"/>
          <w:szCs w:val="22"/>
          <w:u w:val="single"/>
        </w:rPr>
        <w:t xml:space="preserve"> </w:t>
      </w:r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пациенток</w:t>
      </w:r>
      <w:r w:rsidRPr="00EA032A">
        <w:rPr>
          <w:rFonts w:asciiTheme="minorHAnsi" w:hAnsiTheme="minorHAnsi" w:cstheme="minorHAnsi"/>
          <w:b/>
          <w:bCs/>
          <w:i/>
          <w:iCs/>
          <w:spacing w:val="6"/>
          <w:sz w:val="22"/>
          <w:szCs w:val="22"/>
          <w:u w:val="single"/>
        </w:rPr>
        <w:t xml:space="preserve"> </w:t>
      </w:r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(включая</w:t>
      </w:r>
      <w:r w:rsidRPr="00EA032A">
        <w:rPr>
          <w:rFonts w:asciiTheme="minorHAnsi" w:hAnsiTheme="minorHAnsi" w:cstheme="minorHAnsi"/>
          <w:b/>
          <w:bCs/>
          <w:i/>
          <w:iCs/>
          <w:spacing w:val="7"/>
          <w:sz w:val="22"/>
          <w:szCs w:val="22"/>
          <w:u w:val="single"/>
        </w:rPr>
        <w:t xml:space="preserve"> </w:t>
      </w:r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лиц</w:t>
      </w:r>
      <w:r w:rsidRPr="00EA032A">
        <w:rPr>
          <w:rFonts w:asciiTheme="minorHAnsi" w:hAnsiTheme="minorHAnsi" w:cstheme="minorHAnsi"/>
          <w:b/>
          <w:bCs/>
          <w:i/>
          <w:iCs/>
          <w:spacing w:val="8"/>
          <w:sz w:val="22"/>
          <w:szCs w:val="22"/>
          <w:u w:val="single"/>
        </w:rPr>
        <w:t xml:space="preserve"> </w:t>
      </w:r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с</w:t>
      </w:r>
      <w:r w:rsidRPr="00EA032A">
        <w:rPr>
          <w:rFonts w:asciiTheme="minorHAnsi" w:hAnsiTheme="minorHAnsi" w:cstheme="minorHAnsi"/>
          <w:b/>
          <w:bCs/>
          <w:i/>
          <w:iCs/>
          <w:spacing w:val="4"/>
          <w:sz w:val="22"/>
          <w:szCs w:val="22"/>
          <w:u w:val="single"/>
        </w:rPr>
        <w:t xml:space="preserve"> </w:t>
      </w:r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нормальным</w:t>
      </w:r>
      <w:r w:rsidRPr="00EA032A">
        <w:rPr>
          <w:rFonts w:asciiTheme="minorHAnsi" w:hAnsiTheme="minorHAnsi" w:cstheme="minorHAnsi"/>
          <w:b/>
          <w:bCs/>
          <w:i/>
          <w:iCs/>
          <w:spacing w:val="7"/>
          <w:sz w:val="22"/>
          <w:szCs w:val="22"/>
          <w:u w:val="single"/>
        </w:rPr>
        <w:t xml:space="preserve"> </w:t>
      </w:r>
      <w:r w:rsidRPr="00EA032A">
        <w:rPr>
          <w:rFonts w:asciiTheme="minorHAnsi" w:hAnsiTheme="minorHAnsi" w:cstheme="minorHAnsi"/>
          <w:b/>
          <w:bCs/>
          <w:i/>
          <w:iCs/>
          <w:spacing w:val="-10"/>
          <w:sz w:val="22"/>
          <w:szCs w:val="22"/>
          <w:u w:val="single"/>
        </w:rPr>
        <w:t>и</w:t>
      </w:r>
    </w:p>
    <w:p w14:paraId="0C775926" w14:textId="77777777" w:rsidR="00EA032A" w:rsidRPr="00EA032A" w:rsidRDefault="00EA032A" w:rsidP="00EA032A">
      <w:pPr>
        <w:pStyle w:val="a4"/>
        <w:kinsoku w:val="0"/>
        <w:overflowPunct w:val="0"/>
        <w:spacing w:before="120"/>
        <w:ind w:left="-227" w:right="219"/>
        <w:jc w:val="left"/>
        <w:rPr>
          <w:rFonts w:asciiTheme="minorHAnsi" w:hAnsiTheme="minorHAnsi" w:cstheme="minorHAnsi"/>
          <w:b/>
          <w:bCs/>
          <w:i/>
          <w:iCs/>
          <w:spacing w:val="-2"/>
          <w:sz w:val="22"/>
          <w:szCs w:val="22"/>
          <w:u w:val="single"/>
        </w:rPr>
      </w:pPr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«бедным» ответом) показали превосходство </w:t>
      </w:r>
      <w:proofErr w:type="spell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р-</w:t>
      </w:r>
      <w:proofErr w:type="gram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чФСГ:р</w:t>
      </w:r>
      <w:proofErr w:type="gram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-чЛГ</w:t>
      </w:r>
      <w:proofErr w:type="spell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над</w:t>
      </w:r>
      <w:r w:rsidRPr="00EA032A">
        <w:rPr>
          <w:rFonts w:asciiTheme="minorHAnsi" w:hAnsiTheme="minorHAnsi" w:cstheme="minorHAnsi"/>
          <w:b/>
          <w:bCs/>
          <w:i/>
          <w:iCs/>
          <w:spacing w:val="40"/>
          <w:sz w:val="22"/>
          <w:szCs w:val="22"/>
          <w:u w:val="single"/>
        </w:rPr>
        <w:t xml:space="preserve"> </w:t>
      </w:r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р-ФСГ по исходам </w:t>
      </w:r>
      <w:r w:rsidRPr="00EA032A">
        <w:rPr>
          <w:rFonts w:asciiTheme="minorHAnsi" w:hAnsiTheme="minorHAnsi" w:cstheme="minorHAnsi"/>
          <w:b/>
          <w:bCs/>
          <w:i/>
          <w:iCs/>
          <w:spacing w:val="-2"/>
          <w:sz w:val="22"/>
          <w:szCs w:val="22"/>
          <w:u w:val="single"/>
        </w:rPr>
        <w:t>беременности.</w:t>
      </w:r>
    </w:p>
    <w:p w14:paraId="2B7ACC93" w14:textId="77777777" w:rsidR="00EA032A" w:rsidRPr="000B1257" w:rsidRDefault="00EA032A" w:rsidP="00EA032A">
      <w:pPr>
        <w:pStyle w:val="a4"/>
        <w:kinsoku w:val="0"/>
        <w:overflowPunct w:val="0"/>
        <w:spacing w:before="120"/>
        <w:ind w:left="-227" w:right="216" w:firstLine="709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0B12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Терапия </w:t>
      </w:r>
      <w:proofErr w:type="spellStart"/>
      <w:r w:rsidRPr="000B12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р-</w:t>
      </w:r>
      <w:proofErr w:type="gramStart"/>
      <w:r w:rsidRPr="000B12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чФСГ:р</w:t>
      </w:r>
      <w:proofErr w:type="gramEnd"/>
      <w:r w:rsidRPr="000B12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-чЛГ</w:t>
      </w:r>
      <w:proofErr w:type="spellEnd"/>
      <w:r w:rsidRPr="000B12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может улучшить качество ооцитов по сравнению с </w:t>
      </w:r>
      <w:proofErr w:type="spellStart"/>
      <w:r w:rsidRPr="000B12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монотерапией</w:t>
      </w:r>
      <w:proofErr w:type="spellEnd"/>
      <w:r w:rsidRPr="000B12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р-</w:t>
      </w:r>
      <w:proofErr w:type="spellStart"/>
      <w:r w:rsidRPr="000B12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чФСГ</w:t>
      </w:r>
      <w:proofErr w:type="spellEnd"/>
      <w:r w:rsidRPr="000B12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или ЧМГ.</w:t>
      </w:r>
    </w:p>
    <w:p w14:paraId="2106FC0B" w14:textId="77777777" w:rsidR="00EA032A" w:rsidRPr="00EA032A" w:rsidRDefault="00EA032A" w:rsidP="00EA032A">
      <w:pPr>
        <w:pStyle w:val="a4"/>
        <w:kinsoku w:val="0"/>
        <w:overflowPunct w:val="0"/>
        <w:spacing w:before="120"/>
        <w:ind w:left="-227" w:right="220" w:firstLine="709"/>
        <w:jc w:val="left"/>
        <w:rPr>
          <w:rFonts w:asciiTheme="minorHAnsi" w:hAnsiTheme="minorHAnsi" w:cstheme="minorHAnsi"/>
          <w:sz w:val="22"/>
          <w:szCs w:val="22"/>
        </w:rPr>
      </w:pPr>
      <w:r w:rsidRPr="00EA032A">
        <w:rPr>
          <w:rFonts w:asciiTheme="minorHAnsi" w:hAnsiTheme="minorHAnsi" w:cstheme="minorHAnsi"/>
          <w:sz w:val="22"/>
          <w:szCs w:val="22"/>
        </w:rPr>
        <w:t xml:space="preserve">Различные исследования показали, что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р-</w:t>
      </w:r>
      <w:proofErr w:type="gramStart"/>
      <w:r w:rsidRPr="00EA032A">
        <w:rPr>
          <w:rFonts w:asciiTheme="minorHAnsi" w:hAnsiTheme="minorHAnsi" w:cstheme="minorHAnsi"/>
          <w:sz w:val="22"/>
          <w:szCs w:val="22"/>
        </w:rPr>
        <w:t>чФСГ:р</w:t>
      </w:r>
      <w:proofErr w:type="gramEnd"/>
      <w:r w:rsidRPr="00EA032A">
        <w:rPr>
          <w:rFonts w:asciiTheme="minorHAnsi" w:hAnsiTheme="minorHAnsi" w:cstheme="minorHAnsi"/>
          <w:sz w:val="22"/>
          <w:szCs w:val="22"/>
        </w:rPr>
        <w:t>-чЛГ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 улучшает качество ооцитов, что находило свое выражение в более зрелых ооцитах и более высокой частоте оплодотворения / количестве перенесенных эмбрионов по сравнению с другими вариантами лечения в разных популяциях.</w:t>
      </w:r>
    </w:p>
    <w:p w14:paraId="13AE46BA" w14:textId="77777777" w:rsidR="00EA032A" w:rsidRPr="00EA032A" w:rsidRDefault="00EA032A" w:rsidP="00EA032A">
      <w:pPr>
        <w:pStyle w:val="a4"/>
        <w:kinsoku w:val="0"/>
        <w:overflowPunct w:val="0"/>
        <w:spacing w:before="120"/>
        <w:ind w:left="-227" w:right="220" w:firstLine="709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Классификация POSEIDON может помочь выявить пациенток, которые могут получить пользу от терапии </w:t>
      </w:r>
      <w:proofErr w:type="spellStart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Перговерисом</w:t>
      </w:r>
      <w:proofErr w:type="spellEnd"/>
      <w:r w:rsidRPr="00EA03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</w:t>
      </w:r>
    </w:p>
    <w:p w14:paraId="1FDBFBA7" w14:textId="77777777" w:rsidR="00EA032A" w:rsidRPr="00EA032A" w:rsidRDefault="00EA032A" w:rsidP="00EA032A">
      <w:pPr>
        <w:pStyle w:val="a4"/>
        <w:kinsoku w:val="0"/>
        <w:overflowPunct w:val="0"/>
        <w:spacing w:before="120"/>
        <w:ind w:left="-227" w:right="218" w:firstLine="709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EA032A">
        <w:rPr>
          <w:rFonts w:asciiTheme="minorHAnsi" w:hAnsiTheme="minorHAnsi" w:cstheme="minorHAnsi"/>
          <w:sz w:val="22"/>
          <w:szCs w:val="22"/>
        </w:rPr>
        <w:t>Критерии POSEIDON были разработаны для классификации пациенток с БОЯ и обеспечения более детальной стратификации БОЯ по сравнению с той, которая</w:t>
      </w:r>
      <w:r w:rsidRPr="00EA0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 xml:space="preserve">определена в Болонских критериях ESHRE, для уменьшения гетерогенности внутри популяции пациенток с БОЯ и определения конкретных подгрупп лиц с БОЯ (групп с неблагоприятным прогнозом), которым могут принести пользу целенаправленные </w:t>
      </w:r>
      <w:r w:rsidRPr="00EA032A">
        <w:rPr>
          <w:rFonts w:asciiTheme="minorHAnsi" w:hAnsiTheme="minorHAnsi" w:cstheme="minorHAnsi"/>
          <w:spacing w:val="-2"/>
          <w:sz w:val="22"/>
          <w:szCs w:val="22"/>
        </w:rPr>
        <w:t>вмешательства.</w:t>
      </w:r>
    </w:p>
    <w:p w14:paraId="0141CFDB" w14:textId="43F3C211" w:rsidR="002D6470" w:rsidRPr="00A03045" w:rsidRDefault="00EA032A" w:rsidP="00A03045">
      <w:pPr>
        <w:pStyle w:val="a4"/>
        <w:pBdr>
          <w:bottom w:val="single" w:sz="12" w:space="1" w:color="auto"/>
        </w:pBdr>
        <w:kinsoku w:val="0"/>
        <w:overflowPunct w:val="0"/>
        <w:spacing w:before="120"/>
        <w:ind w:left="-227" w:right="220" w:firstLine="709"/>
        <w:jc w:val="left"/>
        <w:rPr>
          <w:rFonts w:asciiTheme="minorHAnsi" w:hAnsiTheme="minorHAnsi" w:cstheme="minorHAnsi"/>
          <w:sz w:val="22"/>
          <w:szCs w:val="22"/>
        </w:rPr>
      </w:pPr>
      <w:r w:rsidRPr="00EA032A">
        <w:rPr>
          <w:rFonts w:asciiTheme="minorHAnsi" w:hAnsiTheme="minorHAnsi" w:cstheme="minorHAnsi"/>
          <w:sz w:val="22"/>
          <w:szCs w:val="22"/>
        </w:rPr>
        <w:lastRenderedPageBreak/>
        <w:t xml:space="preserve">Таким образом, в настоящее время присутствует обширная доказательная база эффективности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Перговериса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 как в клинических исследованиях, так и в рутинной клинической практике.</w:t>
      </w:r>
    </w:p>
    <w:p w14:paraId="41CF02A4" w14:textId="77777777" w:rsidR="00E65403" w:rsidRPr="00E65403" w:rsidRDefault="00E65403" w:rsidP="00EA032A">
      <w:pPr>
        <w:pStyle w:val="a4"/>
        <w:spacing w:before="120"/>
        <w:jc w:val="left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 w:rsidRPr="00E65403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К бесплодию может привести нарушение секреции или активности </w:t>
      </w:r>
      <w:proofErr w:type="spellStart"/>
      <w:r w:rsidRPr="00E65403">
        <w:rPr>
          <w:rFonts w:asciiTheme="minorHAnsi" w:hAnsiTheme="minorHAnsi" w:cstheme="minorHAnsi"/>
          <w:i/>
          <w:iCs/>
          <w:spacing w:val="-2"/>
          <w:sz w:val="22"/>
          <w:szCs w:val="22"/>
        </w:rPr>
        <w:t>ГнРГ</w:t>
      </w:r>
      <w:proofErr w:type="spellEnd"/>
      <w:r w:rsidRPr="00E65403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или любое нарушение секреции и активности ЛГ и ФСГ, которое влияет на рост, созревание и овуляцию фолликулов.</w:t>
      </w:r>
    </w:p>
    <w:p w14:paraId="3DA534FB" w14:textId="77777777" w:rsidR="00E65403" w:rsidRPr="00E65403" w:rsidRDefault="00E65403" w:rsidP="00EA032A">
      <w:pPr>
        <w:pStyle w:val="a4"/>
        <w:spacing w:before="120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E65403">
        <w:rPr>
          <w:rFonts w:asciiTheme="minorHAnsi" w:hAnsiTheme="minorHAnsi" w:cstheme="minorHAnsi"/>
          <w:spacing w:val="-2"/>
          <w:sz w:val="22"/>
          <w:szCs w:val="22"/>
        </w:rPr>
        <w:t xml:space="preserve">Пульсирующее высвобождение </w:t>
      </w:r>
      <w:proofErr w:type="spellStart"/>
      <w:r w:rsidRPr="00E65403">
        <w:rPr>
          <w:rFonts w:asciiTheme="minorHAnsi" w:hAnsiTheme="minorHAnsi" w:cstheme="minorHAnsi"/>
          <w:spacing w:val="-2"/>
          <w:sz w:val="22"/>
          <w:szCs w:val="22"/>
        </w:rPr>
        <w:t>ГнРГ</w:t>
      </w:r>
      <w:proofErr w:type="spellEnd"/>
      <w:r w:rsidRPr="00E65403">
        <w:rPr>
          <w:rFonts w:asciiTheme="minorHAnsi" w:hAnsiTheme="minorHAnsi" w:cstheme="minorHAnsi"/>
          <w:spacing w:val="-2"/>
          <w:sz w:val="22"/>
          <w:szCs w:val="22"/>
        </w:rPr>
        <w:t xml:space="preserve"> из гипоталамуса играет ключевую роль в половом развитии и функционировании [</w:t>
      </w:r>
      <w:proofErr w:type="spellStart"/>
      <w:r w:rsidRPr="00E65403">
        <w:rPr>
          <w:rFonts w:asciiTheme="minorHAnsi" w:hAnsiTheme="minorHAnsi" w:cstheme="minorHAnsi"/>
          <w:spacing w:val="-2"/>
          <w:sz w:val="22"/>
          <w:szCs w:val="22"/>
        </w:rPr>
        <w:t>Tsutsumi</w:t>
      </w:r>
      <w:proofErr w:type="spellEnd"/>
      <w:r w:rsidRPr="00E65403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Pr="00E65403">
        <w:rPr>
          <w:rFonts w:asciiTheme="minorHAnsi" w:hAnsiTheme="minorHAnsi" w:cstheme="minorHAnsi"/>
          <w:spacing w:val="-2"/>
          <w:sz w:val="22"/>
          <w:szCs w:val="22"/>
        </w:rPr>
        <w:t>Webster</w:t>
      </w:r>
      <w:proofErr w:type="spellEnd"/>
      <w:r w:rsidRPr="00E65403">
        <w:rPr>
          <w:rFonts w:asciiTheme="minorHAnsi" w:hAnsiTheme="minorHAnsi" w:cstheme="minorHAnsi"/>
          <w:spacing w:val="-2"/>
          <w:sz w:val="22"/>
          <w:szCs w:val="22"/>
        </w:rPr>
        <w:t xml:space="preserve">, 2009]. </w:t>
      </w:r>
      <w:proofErr w:type="spellStart"/>
      <w:r w:rsidRPr="00E65403">
        <w:rPr>
          <w:rFonts w:asciiTheme="minorHAnsi" w:hAnsiTheme="minorHAnsi" w:cstheme="minorHAnsi"/>
          <w:spacing w:val="-2"/>
          <w:sz w:val="22"/>
          <w:szCs w:val="22"/>
        </w:rPr>
        <w:t>ГнРГ</w:t>
      </w:r>
      <w:proofErr w:type="spellEnd"/>
      <w:r w:rsidRPr="00E65403">
        <w:rPr>
          <w:rFonts w:asciiTheme="minorHAnsi" w:hAnsiTheme="minorHAnsi" w:cstheme="minorHAnsi"/>
          <w:spacing w:val="-2"/>
          <w:sz w:val="22"/>
          <w:szCs w:val="22"/>
        </w:rPr>
        <w:t xml:space="preserve"> стимулирует секрецию гонадотропинов (ЛГ и ФСГ) из передней доли гипофиза [</w:t>
      </w:r>
      <w:proofErr w:type="spellStart"/>
      <w:r w:rsidRPr="00E65403">
        <w:rPr>
          <w:rFonts w:asciiTheme="minorHAnsi" w:hAnsiTheme="minorHAnsi" w:cstheme="minorHAnsi"/>
          <w:spacing w:val="-2"/>
          <w:sz w:val="22"/>
          <w:szCs w:val="22"/>
        </w:rPr>
        <w:t>Tsutsumi</w:t>
      </w:r>
      <w:proofErr w:type="spellEnd"/>
      <w:r w:rsidRPr="00E65403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Pr="00E65403">
        <w:rPr>
          <w:rFonts w:asciiTheme="minorHAnsi" w:hAnsiTheme="minorHAnsi" w:cstheme="minorHAnsi"/>
          <w:spacing w:val="-2"/>
          <w:sz w:val="22"/>
          <w:szCs w:val="22"/>
        </w:rPr>
        <w:t>Webster</w:t>
      </w:r>
      <w:proofErr w:type="spellEnd"/>
      <w:r w:rsidRPr="00E65403">
        <w:rPr>
          <w:rFonts w:asciiTheme="minorHAnsi" w:hAnsiTheme="minorHAnsi" w:cstheme="minorHAnsi"/>
          <w:spacing w:val="-2"/>
          <w:sz w:val="22"/>
          <w:szCs w:val="22"/>
        </w:rPr>
        <w:t xml:space="preserve">, 2009]. Высвобождение ЛГ и ФСГ так же происходит не постоянно, а носит пульсирующий характер; ЛГ в синергии с ФСГ стимулирует рост фолликулов и овуляцию: основная роль ФСГ заключается в стимуляции развития и созревания фолликулов яичников, тогда как ЛГ способствует </w:t>
      </w:r>
      <w:proofErr w:type="spellStart"/>
      <w:r w:rsidRPr="00E65403">
        <w:rPr>
          <w:rFonts w:asciiTheme="minorHAnsi" w:hAnsiTheme="minorHAnsi" w:cstheme="minorHAnsi"/>
          <w:spacing w:val="-2"/>
          <w:sz w:val="22"/>
          <w:szCs w:val="22"/>
        </w:rPr>
        <w:t>стероидогенезу</w:t>
      </w:r>
      <w:proofErr w:type="spellEnd"/>
      <w:r w:rsidRPr="00E65403">
        <w:rPr>
          <w:rFonts w:asciiTheme="minorHAnsi" w:hAnsiTheme="minorHAnsi" w:cstheme="minorHAnsi"/>
          <w:spacing w:val="-2"/>
          <w:sz w:val="22"/>
          <w:szCs w:val="22"/>
        </w:rPr>
        <w:t xml:space="preserve"> и играет свою роль в развитии и созревании фолликулов [</w:t>
      </w:r>
      <w:proofErr w:type="spellStart"/>
      <w:r w:rsidRPr="00E65403">
        <w:rPr>
          <w:rFonts w:asciiTheme="minorHAnsi" w:hAnsiTheme="minorHAnsi" w:cstheme="minorHAnsi"/>
          <w:spacing w:val="-2"/>
          <w:sz w:val="22"/>
          <w:szCs w:val="22"/>
        </w:rPr>
        <w:t>Leao</w:t>
      </w:r>
      <w:proofErr w:type="spellEnd"/>
      <w:r w:rsidRPr="00E65403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Pr="00E65403">
        <w:rPr>
          <w:rFonts w:asciiTheme="minorHAnsi" w:hAnsiTheme="minorHAnsi" w:cstheme="minorHAnsi"/>
          <w:spacing w:val="-2"/>
          <w:sz w:val="22"/>
          <w:szCs w:val="22"/>
        </w:rPr>
        <w:t>Esteves</w:t>
      </w:r>
      <w:proofErr w:type="spellEnd"/>
      <w:r w:rsidRPr="00E65403">
        <w:rPr>
          <w:rFonts w:asciiTheme="minorHAnsi" w:hAnsiTheme="minorHAnsi" w:cstheme="minorHAnsi"/>
          <w:spacing w:val="-2"/>
          <w:sz w:val="22"/>
          <w:szCs w:val="22"/>
        </w:rPr>
        <w:t>, 2014].</w:t>
      </w:r>
    </w:p>
    <w:p w14:paraId="329CCDD2" w14:textId="22B78C02" w:rsidR="00B60E71" w:rsidRPr="00EA032A" w:rsidRDefault="00EA032A" w:rsidP="00EA032A">
      <w:pPr>
        <w:pStyle w:val="a4"/>
        <w:spacing w:before="120"/>
        <w:jc w:val="left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>
        <w:rPr>
          <w:rFonts w:asciiTheme="minorHAnsi" w:hAnsiTheme="minorHAnsi" w:cstheme="minorHAnsi"/>
          <w:i/>
          <w:iCs/>
          <w:spacing w:val="-2"/>
          <w:sz w:val="22"/>
          <w:szCs w:val="22"/>
        </w:rPr>
        <w:t>_______________________________________________________________________________</w:t>
      </w:r>
    </w:p>
    <w:p w14:paraId="67DE241D" w14:textId="352A4B70" w:rsidR="00E65403" w:rsidRPr="00E65403" w:rsidRDefault="00E65403" w:rsidP="00EA032A">
      <w:pPr>
        <w:pStyle w:val="a4"/>
        <w:spacing w:before="120"/>
        <w:jc w:val="left"/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</w:pPr>
      <w:r w:rsidRPr="00E65403"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  <w:t xml:space="preserve">ЛГ и </w:t>
      </w:r>
      <w:proofErr w:type="spellStart"/>
      <w:r w:rsidRPr="00E65403"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  <w:t>ХГч</w:t>
      </w:r>
      <w:proofErr w:type="spellEnd"/>
      <w:r w:rsidRPr="00E65403">
        <w:rPr>
          <w:rFonts w:asciiTheme="minorHAnsi" w:hAnsiTheme="minorHAnsi" w:cstheme="minorHAnsi"/>
          <w:i/>
          <w:iCs/>
          <w:spacing w:val="-2"/>
          <w:sz w:val="22"/>
          <w:szCs w:val="22"/>
          <w:u w:val="single"/>
        </w:rPr>
        <w:t xml:space="preserve"> инициируют разные клеточные ответы, несмотря на связывание с одним и тем же рецептором, и эффект физиологической активации зависит от типа клетки, в которой расположен рецептор.</w:t>
      </w:r>
    </w:p>
    <w:p w14:paraId="2013CFA5" w14:textId="0FC9285B" w:rsidR="00E65403" w:rsidRPr="00EA032A" w:rsidRDefault="00A03045" w:rsidP="00EA032A">
      <w:pPr>
        <w:pBdr>
          <w:bottom w:val="single" w:sz="12" w:space="1" w:color="auto"/>
        </w:pBdr>
        <w:spacing w:before="120" w:after="0" w:line="240" w:lineRule="auto"/>
        <w:ind w:left="-227" w:firstLine="709"/>
        <w:rPr>
          <w:rFonts w:cstheme="minorHAnsi"/>
          <w:color w:val="FF0000"/>
        </w:rPr>
      </w:pPr>
      <w:r>
        <w:rPr>
          <w:rFonts w:cstheme="minorHAnsi"/>
          <w:b/>
        </w:rPr>
        <w:t>С</w:t>
      </w:r>
      <w:r w:rsidR="00E65403" w:rsidRPr="00EA032A">
        <w:rPr>
          <w:rFonts w:cstheme="minorHAnsi"/>
          <w:b/>
        </w:rPr>
        <w:t xml:space="preserve"> целью реализации возможности индивидуализированного проведения программы ВРТ, пациенткам, впервые обратившимся по поводу лечения бесплодия методом экстракорпорального оплодотворения, наряду с клинико-лабораторным обследованием на этапе подготовки целесообразно проводить генотипирование для выявления </w:t>
      </w:r>
      <w:proofErr w:type="spellStart"/>
      <w:r w:rsidR="00E65403" w:rsidRPr="00EA032A">
        <w:rPr>
          <w:rFonts w:cstheme="minorHAnsi"/>
          <w:b/>
        </w:rPr>
        <w:t>полиморфирзмов</w:t>
      </w:r>
      <w:proofErr w:type="spellEnd"/>
      <w:r w:rsidR="00E65403" w:rsidRPr="00EA032A">
        <w:rPr>
          <w:rFonts w:cstheme="minorHAnsi"/>
          <w:b/>
        </w:rPr>
        <w:t xml:space="preserve"> LHCGR, FSHR</w:t>
      </w:r>
      <w:r w:rsidR="00E65403" w:rsidRPr="00EA032A">
        <w:rPr>
          <w:rFonts w:cstheme="minorHAnsi"/>
          <w:color w:val="FF0000"/>
        </w:rPr>
        <w:t>.</w:t>
      </w:r>
    </w:p>
    <w:p w14:paraId="0419445A" w14:textId="77777777" w:rsidR="00160A1D" w:rsidRPr="00EA032A" w:rsidRDefault="00160A1D" w:rsidP="00EA032A">
      <w:pPr>
        <w:pStyle w:val="a4"/>
        <w:kinsoku w:val="0"/>
        <w:overflowPunct w:val="0"/>
        <w:spacing w:before="120"/>
        <w:ind w:left="-227" w:right="219" w:firstLine="541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A032A">
        <w:rPr>
          <w:rFonts w:asciiTheme="minorHAnsi" w:hAnsiTheme="minorHAnsi" w:cstheme="minorHAnsi"/>
          <w:b/>
          <w:bCs/>
          <w:sz w:val="22"/>
          <w:szCs w:val="22"/>
        </w:rPr>
        <w:t>Перговерис</w:t>
      </w:r>
      <w:proofErr w:type="spellEnd"/>
      <w:r w:rsidRPr="00EA032A">
        <w:rPr>
          <w:rFonts w:asciiTheme="minorHAnsi" w:hAnsiTheme="minorHAnsi" w:cstheme="minorHAnsi"/>
          <w:b/>
          <w:bCs/>
          <w:sz w:val="22"/>
          <w:szCs w:val="22"/>
        </w:rPr>
        <w:t xml:space="preserve"> содержит высокоочищенные </w:t>
      </w:r>
      <w:proofErr w:type="spellStart"/>
      <w:r w:rsidRPr="00EA032A">
        <w:rPr>
          <w:rFonts w:asciiTheme="minorHAnsi" w:hAnsiTheme="minorHAnsi" w:cstheme="minorHAnsi"/>
          <w:b/>
          <w:bCs/>
          <w:sz w:val="22"/>
          <w:szCs w:val="22"/>
        </w:rPr>
        <w:t>р-</w:t>
      </w:r>
      <w:proofErr w:type="gramStart"/>
      <w:r w:rsidRPr="00EA032A">
        <w:rPr>
          <w:rFonts w:asciiTheme="minorHAnsi" w:hAnsiTheme="minorHAnsi" w:cstheme="minorHAnsi"/>
          <w:b/>
          <w:bCs/>
          <w:sz w:val="22"/>
          <w:szCs w:val="22"/>
        </w:rPr>
        <w:t>чФСГ:р</w:t>
      </w:r>
      <w:proofErr w:type="gramEnd"/>
      <w:r w:rsidRPr="00EA032A">
        <w:rPr>
          <w:rFonts w:asciiTheme="minorHAnsi" w:hAnsiTheme="minorHAnsi" w:cstheme="minorHAnsi"/>
          <w:b/>
          <w:bCs/>
          <w:sz w:val="22"/>
          <w:szCs w:val="22"/>
        </w:rPr>
        <w:t>-чЛГ</w:t>
      </w:r>
      <w:proofErr w:type="spellEnd"/>
      <w:r w:rsidRPr="00EA032A">
        <w:rPr>
          <w:rFonts w:asciiTheme="minorHAnsi" w:hAnsiTheme="minorHAnsi" w:cstheme="minorHAnsi"/>
          <w:b/>
          <w:bCs/>
          <w:sz w:val="22"/>
          <w:szCs w:val="22"/>
        </w:rPr>
        <w:t>, получаемые с использованием технологии рекомбинантной ДНК.</w:t>
      </w:r>
    </w:p>
    <w:p w14:paraId="585FF4E1" w14:textId="77777777" w:rsidR="00160A1D" w:rsidRPr="00EA032A" w:rsidRDefault="00160A1D" w:rsidP="00EA032A">
      <w:pPr>
        <w:pStyle w:val="a4"/>
        <w:kinsoku w:val="0"/>
        <w:overflowPunct w:val="0"/>
        <w:spacing w:before="120"/>
        <w:ind w:left="-227" w:right="216" w:firstLine="709"/>
        <w:jc w:val="left"/>
        <w:rPr>
          <w:rFonts w:asciiTheme="minorHAnsi" w:hAnsiTheme="minorHAnsi" w:cstheme="minorHAnsi"/>
          <w:sz w:val="22"/>
          <w:szCs w:val="22"/>
        </w:rPr>
      </w:pPr>
      <w:r w:rsidRPr="00EA032A">
        <w:rPr>
          <w:rFonts w:asciiTheme="minorHAnsi" w:hAnsiTheme="minorHAnsi" w:cstheme="minorHAnsi"/>
          <w:sz w:val="22"/>
          <w:szCs w:val="22"/>
        </w:rPr>
        <w:t xml:space="preserve">Действующие вещества, входящие в состав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Перговериса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, а именно фоллитропин альфа и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лутропин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 альфа, получают с помощью рекомбинантной технологии с использованием ДНК ФСГ и ЛГ. Получаемые высокоочищенные белки, по существу, аналогичны эндогенным формам [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Leao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Esteves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>, 2014].</w:t>
      </w:r>
    </w:p>
    <w:p w14:paraId="126BEECD" w14:textId="77777777" w:rsidR="00160A1D" w:rsidRPr="00EA032A" w:rsidRDefault="00160A1D" w:rsidP="00EA032A">
      <w:pPr>
        <w:pStyle w:val="a4"/>
        <w:kinsoku w:val="0"/>
        <w:overflowPunct w:val="0"/>
        <w:spacing w:before="120"/>
        <w:ind w:left="-227" w:right="218" w:firstLine="709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EA032A">
        <w:rPr>
          <w:rFonts w:asciiTheme="minorHAnsi" w:hAnsiTheme="minorHAnsi" w:cstheme="minorHAnsi"/>
          <w:sz w:val="22"/>
          <w:szCs w:val="22"/>
        </w:rPr>
        <w:t xml:space="preserve">Таким образом, рекомбинантные гонадотропины характеризуются высокой степенью сообразности как по профилю изоформ, так и по распределению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гликановых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 структур. Следовательно, они поддаются количественному определению с помощью оптимизированного</w:t>
      </w:r>
      <w:r w:rsidRPr="00EA032A">
        <w:rPr>
          <w:rFonts w:asciiTheme="minorHAnsi" w:hAnsiTheme="minorHAnsi" w:cstheme="minorHAnsi"/>
          <w:spacing w:val="78"/>
          <w:sz w:val="22"/>
          <w:szCs w:val="22"/>
        </w:rPr>
        <w:t xml:space="preserve">   </w:t>
      </w:r>
      <w:r w:rsidRPr="00EA032A">
        <w:rPr>
          <w:rFonts w:asciiTheme="minorHAnsi" w:hAnsiTheme="minorHAnsi" w:cstheme="minorHAnsi"/>
          <w:sz w:val="22"/>
          <w:szCs w:val="22"/>
        </w:rPr>
        <w:t>метода</w:t>
      </w:r>
      <w:r w:rsidRPr="00EA032A">
        <w:rPr>
          <w:rFonts w:asciiTheme="minorHAnsi" w:hAnsiTheme="minorHAnsi" w:cstheme="minorHAnsi"/>
          <w:spacing w:val="76"/>
          <w:sz w:val="22"/>
          <w:szCs w:val="22"/>
        </w:rPr>
        <w:t xml:space="preserve">  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эксклюзионной</w:t>
      </w:r>
      <w:proofErr w:type="spellEnd"/>
      <w:r w:rsidRPr="00EA032A">
        <w:rPr>
          <w:rFonts w:asciiTheme="minorHAnsi" w:hAnsiTheme="minorHAnsi" w:cstheme="minorHAnsi"/>
          <w:spacing w:val="74"/>
          <w:sz w:val="22"/>
          <w:szCs w:val="22"/>
        </w:rPr>
        <w:t xml:space="preserve">   </w:t>
      </w:r>
      <w:r w:rsidRPr="00EA032A">
        <w:rPr>
          <w:rFonts w:asciiTheme="minorHAnsi" w:hAnsiTheme="minorHAnsi" w:cstheme="minorHAnsi"/>
          <w:sz w:val="22"/>
          <w:szCs w:val="22"/>
        </w:rPr>
        <w:t>высокоэффективной</w:t>
      </w:r>
      <w:r w:rsidRPr="00EA032A">
        <w:rPr>
          <w:rFonts w:asciiTheme="minorHAnsi" w:hAnsiTheme="minorHAnsi" w:cstheme="minorHAnsi"/>
          <w:spacing w:val="75"/>
          <w:sz w:val="22"/>
          <w:szCs w:val="22"/>
        </w:rPr>
        <w:t xml:space="preserve">   </w:t>
      </w:r>
      <w:r w:rsidRPr="00EA032A">
        <w:rPr>
          <w:rFonts w:asciiTheme="minorHAnsi" w:hAnsiTheme="minorHAnsi" w:cstheme="minorHAnsi"/>
          <w:sz w:val="22"/>
          <w:szCs w:val="22"/>
        </w:rPr>
        <w:t>жидкостной хроматографии</w:t>
      </w:r>
      <w:r w:rsidRPr="00EA032A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(SE-HPLC),</w:t>
      </w:r>
      <w:r w:rsidRPr="00EA032A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и</w:t>
      </w:r>
      <w:r w:rsidRPr="00EA032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их</w:t>
      </w:r>
      <w:r w:rsidRPr="00EA032A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дозирование</w:t>
      </w:r>
      <w:r w:rsidRPr="00EA032A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по</w:t>
      </w:r>
      <w:r w:rsidRPr="00EA03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флаконам</w:t>
      </w:r>
      <w:r w:rsidRPr="00EA032A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можно</w:t>
      </w:r>
      <w:r w:rsidRPr="00EA032A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выполнять</w:t>
      </w:r>
      <w:r w:rsidRPr="00EA032A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по</w:t>
      </w:r>
      <w:r w:rsidRPr="00EA032A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pacing w:val="-2"/>
          <w:sz w:val="22"/>
          <w:szCs w:val="22"/>
        </w:rPr>
        <w:t>массе [</w:t>
      </w:r>
      <w:proofErr w:type="spellStart"/>
      <w:r w:rsidRPr="00EA032A">
        <w:rPr>
          <w:rFonts w:asciiTheme="minorHAnsi" w:hAnsiTheme="minorHAnsi" w:cstheme="minorHAnsi"/>
          <w:spacing w:val="-2"/>
          <w:sz w:val="22"/>
          <w:szCs w:val="22"/>
        </w:rPr>
        <w:t>Driebergen</w:t>
      </w:r>
      <w:proofErr w:type="spellEnd"/>
      <w:r w:rsidRPr="00EA032A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EA032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pacing w:val="-2"/>
          <w:sz w:val="22"/>
          <w:szCs w:val="22"/>
        </w:rPr>
        <w:t>2013].</w:t>
      </w:r>
    </w:p>
    <w:p w14:paraId="51B4F128" w14:textId="53F66479" w:rsidR="00160A1D" w:rsidRPr="00EA032A" w:rsidRDefault="00160A1D" w:rsidP="00EA032A">
      <w:pPr>
        <w:pStyle w:val="a4"/>
        <w:pBdr>
          <w:bottom w:val="single" w:sz="12" w:space="1" w:color="auto"/>
        </w:pBdr>
        <w:kinsoku w:val="0"/>
        <w:overflowPunct w:val="0"/>
        <w:spacing w:before="120"/>
        <w:ind w:left="-227" w:right="216" w:firstLine="709"/>
        <w:jc w:val="left"/>
        <w:rPr>
          <w:rFonts w:asciiTheme="minorHAnsi" w:hAnsiTheme="minorHAnsi" w:cstheme="minorHAnsi"/>
          <w:sz w:val="22"/>
          <w:szCs w:val="22"/>
        </w:rPr>
      </w:pPr>
      <w:r w:rsidRPr="00EA032A">
        <w:rPr>
          <w:rFonts w:asciiTheme="minorHAnsi" w:hAnsiTheme="minorHAnsi" w:cstheme="minorHAnsi"/>
          <w:sz w:val="22"/>
          <w:szCs w:val="22"/>
        </w:rPr>
        <w:t>Флаконы, дозируемые по массе, обеспечивают высокую степень сообразности активности</w:t>
      </w:r>
      <w:r w:rsidRPr="00EA03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между</w:t>
      </w:r>
      <w:r w:rsidRPr="00EA032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сериями и большую</w:t>
      </w:r>
      <w:r w:rsidRPr="00EA03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точность дозирования при</w:t>
      </w:r>
      <w:r w:rsidRPr="00EA03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A032A">
        <w:rPr>
          <w:rFonts w:asciiTheme="minorHAnsi" w:hAnsiTheme="minorHAnsi" w:cstheme="minorHAnsi"/>
          <w:sz w:val="22"/>
          <w:szCs w:val="22"/>
        </w:rPr>
        <w:t>введении [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Hugues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 xml:space="preserve">, 2005; </w:t>
      </w:r>
      <w:proofErr w:type="spellStart"/>
      <w:r w:rsidRPr="00EA032A">
        <w:rPr>
          <w:rFonts w:asciiTheme="minorHAnsi" w:hAnsiTheme="minorHAnsi" w:cstheme="minorHAnsi"/>
          <w:sz w:val="22"/>
          <w:szCs w:val="22"/>
        </w:rPr>
        <w:t>Bagchus</w:t>
      </w:r>
      <w:proofErr w:type="spellEnd"/>
      <w:r w:rsidRPr="00EA032A">
        <w:rPr>
          <w:rFonts w:asciiTheme="minorHAnsi" w:hAnsiTheme="minorHAnsi" w:cstheme="minorHAnsi"/>
          <w:sz w:val="22"/>
          <w:szCs w:val="22"/>
        </w:rPr>
        <w:t>, 2018].</w:t>
      </w:r>
    </w:p>
    <w:sectPr w:rsidR="00160A1D" w:rsidRPr="00EA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222" w:hanging="686"/>
      </w:pPr>
      <w:rPr>
        <w:rFonts w:ascii="Times New Roman" w:hAnsi="Times New Roman"/>
        <w:b w:val="0"/>
        <w:i w:val="0"/>
        <w:w w:val="99"/>
        <w:sz w:val="24"/>
      </w:rPr>
    </w:lvl>
    <w:lvl w:ilvl="1">
      <w:numFmt w:val="bullet"/>
      <w:lvlText w:val="•"/>
      <w:lvlJc w:val="left"/>
      <w:pPr>
        <w:ind w:left="1177" w:hanging="686"/>
      </w:pPr>
    </w:lvl>
    <w:lvl w:ilvl="2">
      <w:numFmt w:val="bullet"/>
      <w:lvlText w:val="•"/>
      <w:lvlJc w:val="left"/>
      <w:pPr>
        <w:ind w:left="2134" w:hanging="686"/>
      </w:pPr>
    </w:lvl>
    <w:lvl w:ilvl="3">
      <w:numFmt w:val="bullet"/>
      <w:lvlText w:val="•"/>
      <w:lvlJc w:val="left"/>
      <w:pPr>
        <w:ind w:left="3091" w:hanging="686"/>
      </w:pPr>
    </w:lvl>
    <w:lvl w:ilvl="4">
      <w:numFmt w:val="bullet"/>
      <w:lvlText w:val="•"/>
      <w:lvlJc w:val="left"/>
      <w:pPr>
        <w:ind w:left="4048" w:hanging="686"/>
      </w:pPr>
    </w:lvl>
    <w:lvl w:ilvl="5">
      <w:numFmt w:val="bullet"/>
      <w:lvlText w:val="•"/>
      <w:lvlJc w:val="left"/>
      <w:pPr>
        <w:ind w:left="5005" w:hanging="686"/>
      </w:pPr>
    </w:lvl>
    <w:lvl w:ilvl="6">
      <w:numFmt w:val="bullet"/>
      <w:lvlText w:val="•"/>
      <w:lvlJc w:val="left"/>
      <w:pPr>
        <w:ind w:left="5962" w:hanging="686"/>
      </w:pPr>
    </w:lvl>
    <w:lvl w:ilvl="7">
      <w:numFmt w:val="bullet"/>
      <w:lvlText w:val="•"/>
      <w:lvlJc w:val="left"/>
      <w:pPr>
        <w:ind w:left="6919" w:hanging="686"/>
      </w:pPr>
    </w:lvl>
    <w:lvl w:ilvl="8">
      <w:numFmt w:val="bullet"/>
      <w:lvlText w:val="•"/>
      <w:lvlJc w:val="left"/>
      <w:pPr>
        <w:ind w:left="7876" w:hanging="686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–"/>
      <w:lvlJc w:val="left"/>
      <w:pPr>
        <w:ind w:left="222" w:hanging="202"/>
      </w:pPr>
      <w:rPr>
        <w:rFonts w:ascii="Times New Roman" w:hAnsi="Times New Roman"/>
        <w:b w:val="0"/>
        <w:i w:val="0"/>
        <w:w w:val="99"/>
        <w:sz w:val="24"/>
      </w:rPr>
    </w:lvl>
    <w:lvl w:ilvl="1">
      <w:numFmt w:val="bullet"/>
      <w:lvlText w:val="•"/>
      <w:lvlJc w:val="left"/>
      <w:pPr>
        <w:ind w:left="1177" w:hanging="202"/>
      </w:pPr>
    </w:lvl>
    <w:lvl w:ilvl="2">
      <w:numFmt w:val="bullet"/>
      <w:lvlText w:val="•"/>
      <w:lvlJc w:val="left"/>
      <w:pPr>
        <w:ind w:left="2134" w:hanging="202"/>
      </w:pPr>
    </w:lvl>
    <w:lvl w:ilvl="3">
      <w:numFmt w:val="bullet"/>
      <w:lvlText w:val="•"/>
      <w:lvlJc w:val="left"/>
      <w:pPr>
        <w:ind w:left="3091" w:hanging="202"/>
      </w:pPr>
    </w:lvl>
    <w:lvl w:ilvl="4">
      <w:numFmt w:val="bullet"/>
      <w:lvlText w:val="•"/>
      <w:lvlJc w:val="left"/>
      <w:pPr>
        <w:ind w:left="4048" w:hanging="202"/>
      </w:pPr>
    </w:lvl>
    <w:lvl w:ilvl="5">
      <w:numFmt w:val="bullet"/>
      <w:lvlText w:val="•"/>
      <w:lvlJc w:val="left"/>
      <w:pPr>
        <w:ind w:left="5005" w:hanging="202"/>
      </w:pPr>
    </w:lvl>
    <w:lvl w:ilvl="6">
      <w:numFmt w:val="bullet"/>
      <w:lvlText w:val="•"/>
      <w:lvlJc w:val="left"/>
      <w:pPr>
        <w:ind w:left="5962" w:hanging="202"/>
      </w:pPr>
    </w:lvl>
    <w:lvl w:ilvl="7">
      <w:numFmt w:val="bullet"/>
      <w:lvlText w:val="•"/>
      <w:lvlJc w:val="left"/>
      <w:pPr>
        <w:ind w:left="6919" w:hanging="202"/>
      </w:pPr>
    </w:lvl>
    <w:lvl w:ilvl="8">
      <w:numFmt w:val="bullet"/>
      <w:lvlText w:val="•"/>
      <w:lvlJc w:val="left"/>
      <w:pPr>
        <w:ind w:left="7876" w:hanging="202"/>
      </w:pPr>
    </w:lvl>
  </w:abstractNum>
  <w:abstractNum w:abstractNumId="2" w15:restartNumberingAfterBreak="0">
    <w:nsid w:val="150D515C"/>
    <w:multiLevelType w:val="hybridMultilevel"/>
    <w:tmpl w:val="F322FCBC"/>
    <w:lvl w:ilvl="0" w:tplc="785E3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C3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2C5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84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62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6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2B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A4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0D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1F4DF7"/>
    <w:multiLevelType w:val="hybridMultilevel"/>
    <w:tmpl w:val="95D8F8FA"/>
    <w:lvl w:ilvl="0" w:tplc="10EEE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E2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0E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4B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67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8B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0B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86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AB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B42CBE"/>
    <w:multiLevelType w:val="hybridMultilevel"/>
    <w:tmpl w:val="596AC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4711"/>
    <w:multiLevelType w:val="hybridMultilevel"/>
    <w:tmpl w:val="2D20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16BBF"/>
    <w:multiLevelType w:val="hybridMultilevel"/>
    <w:tmpl w:val="BCD4B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EEB"/>
    <w:multiLevelType w:val="hybridMultilevel"/>
    <w:tmpl w:val="B01A81E6"/>
    <w:lvl w:ilvl="0" w:tplc="0419000B">
      <w:start w:val="1"/>
      <w:numFmt w:val="bullet"/>
      <w:lvlText w:val=""/>
      <w:lvlJc w:val="left"/>
      <w:pPr>
        <w:ind w:left="2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</w:abstractNum>
  <w:num w:numId="1" w16cid:durableId="2068215358">
    <w:abstractNumId w:val="3"/>
  </w:num>
  <w:num w:numId="2" w16cid:durableId="1535072092">
    <w:abstractNumId w:val="2"/>
  </w:num>
  <w:num w:numId="3" w16cid:durableId="1896774211">
    <w:abstractNumId w:val="0"/>
  </w:num>
  <w:num w:numId="4" w16cid:durableId="556167111">
    <w:abstractNumId w:val="7"/>
  </w:num>
  <w:num w:numId="5" w16cid:durableId="197164826">
    <w:abstractNumId w:val="6"/>
  </w:num>
  <w:num w:numId="6" w16cid:durableId="1861359222">
    <w:abstractNumId w:val="5"/>
  </w:num>
  <w:num w:numId="7" w16cid:durableId="668337363">
    <w:abstractNumId w:val="4"/>
  </w:num>
  <w:num w:numId="8" w16cid:durableId="161948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49"/>
    <w:rsid w:val="000B1257"/>
    <w:rsid w:val="00160A1D"/>
    <w:rsid w:val="002D2B5A"/>
    <w:rsid w:val="002D6470"/>
    <w:rsid w:val="003A5A6B"/>
    <w:rsid w:val="00401DAF"/>
    <w:rsid w:val="00455386"/>
    <w:rsid w:val="004F7B37"/>
    <w:rsid w:val="005832BE"/>
    <w:rsid w:val="00705A9E"/>
    <w:rsid w:val="007453DE"/>
    <w:rsid w:val="00A03045"/>
    <w:rsid w:val="00B60E71"/>
    <w:rsid w:val="00DB0D80"/>
    <w:rsid w:val="00E56149"/>
    <w:rsid w:val="00E65403"/>
    <w:rsid w:val="00E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9377"/>
  <w15:chartTrackingRefBased/>
  <w15:docId w15:val="{A1320920-4E3B-49D3-9BB6-E16A8C5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614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65403"/>
    <w:pPr>
      <w:widowControl w:val="0"/>
      <w:autoSpaceDE w:val="0"/>
      <w:autoSpaceDN w:val="0"/>
      <w:adjustRightInd w:val="0"/>
      <w:spacing w:after="0" w:line="240" w:lineRule="auto"/>
      <w:ind w:left="2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6540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268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74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85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841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619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104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980C-770B-4558-84A5-305843EE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Fedorova</dc:creator>
  <cp:keywords/>
  <dc:description/>
  <cp:lastModifiedBy>Екатерина Токминина</cp:lastModifiedBy>
  <cp:revision>8</cp:revision>
  <dcterms:created xsi:type="dcterms:W3CDTF">2023-09-21T16:26:00Z</dcterms:created>
  <dcterms:modified xsi:type="dcterms:W3CDTF">2023-09-26T11:23:00Z</dcterms:modified>
</cp:coreProperties>
</file>